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77353">
      <w:pPr>
        <w:spacing w:line="360" w:lineRule="auto"/>
        <w:jc w:val="left"/>
        <w:outlineLvl w:val="0"/>
        <w:rPr>
          <w:rFonts w:hint="eastAsia" w:ascii="黑体" w:hAnsi="华文细黑" w:eastAsia="黑体"/>
          <w:sz w:val="24"/>
        </w:rPr>
      </w:pPr>
      <w:r>
        <w:rPr>
          <w:rFonts w:hint="eastAsia" w:ascii="黑体" w:hAnsi="华文细黑" w:eastAsia="黑体"/>
          <w:sz w:val="24"/>
        </w:rPr>
        <w:t>附件1</w:t>
      </w:r>
    </w:p>
    <w:p w14:paraId="1E9CE7C5">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5"/>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139"/>
        <w:gridCol w:w="32"/>
        <w:gridCol w:w="823"/>
        <w:gridCol w:w="878"/>
        <w:gridCol w:w="3383"/>
      </w:tblGrid>
      <w:tr w14:paraId="692DE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vAlign w:val="center"/>
          </w:tcPr>
          <w:p w14:paraId="7A5971F7">
            <w:pPr>
              <w:rPr>
                <w:sz w:val="24"/>
              </w:rPr>
            </w:pPr>
            <w:r>
              <w:rPr>
                <w:rFonts w:hint="eastAsia"/>
                <w:sz w:val="24"/>
              </w:rPr>
              <w:t>项目名称（中文）</w:t>
            </w:r>
          </w:p>
        </w:tc>
        <w:tc>
          <w:tcPr>
            <w:tcW w:w="7255" w:type="dxa"/>
            <w:gridSpan w:val="5"/>
            <w:vAlign w:val="center"/>
          </w:tcPr>
          <w:p w14:paraId="37B846CB">
            <w:pPr>
              <w:jc w:val="center"/>
              <w:rPr>
                <w:rFonts w:hint="eastAsia"/>
                <w:sz w:val="24"/>
              </w:rPr>
            </w:pPr>
            <w:bookmarkStart w:id="0" w:name="OLE_LINK1"/>
            <w:r>
              <w:rPr>
                <w:rFonts w:hint="eastAsia"/>
                <w:sz w:val="24"/>
                <w:szCs w:val="24"/>
              </w:rPr>
              <w:t>电池动力船用功率变换器技术要求</w:t>
            </w:r>
            <w:bookmarkEnd w:id="0"/>
          </w:p>
        </w:tc>
      </w:tr>
      <w:tr w14:paraId="522F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vAlign w:val="center"/>
          </w:tcPr>
          <w:p w14:paraId="1ECAB6E8">
            <w:pPr>
              <w:rPr>
                <w:sz w:val="24"/>
              </w:rPr>
            </w:pPr>
            <w:r>
              <w:rPr>
                <w:rFonts w:hint="eastAsia"/>
                <w:sz w:val="24"/>
              </w:rPr>
              <w:t>项目名称（英文）</w:t>
            </w:r>
          </w:p>
        </w:tc>
        <w:tc>
          <w:tcPr>
            <w:tcW w:w="7255" w:type="dxa"/>
            <w:gridSpan w:val="5"/>
            <w:vAlign w:val="center"/>
          </w:tcPr>
          <w:p w14:paraId="08997A54">
            <w:pPr>
              <w:jc w:val="center"/>
              <w:rPr>
                <w:sz w:val="24"/>
              </w:rPr>
            </w:pPr>
            <w:r>
              <w:rPr>
                <w:sz w:val="24"/>
              </w:rPr>
              <w:t>Technical Requirements for Battery-Powered Marine Power Converters</w:t>
            </w:r>
          </w:p>
        </w:tc>
      </w:tr>
      <w:tr w14:paraId="24F5F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80" w:type="dxa"/>
            <w:vAlign w:val="center"/>
          </w:tcPr>
          <w:p w14:paraId="7F3C6311">
            <w:pPr>
              <w:jc w:val="center"/>
              <w:rPr>
                <w:sz w:val="24"/>
              </w:rPr>
            </w:pPr>
            <w:r>
              <w:rPr>
                <w:rFonts w:hint="eastAsia"/>
                <w:sz w:val="24"/>
              </w:rPr>
              <w:t>制修订</w:t>
            </w:r>
          </w:p>
        </w:tc>
        <w:tc>
          <w:tcPr>
            <w:tcW w:w="2171" w:type="dxa"/>
            <w:gridSpan w:val="2"/>
            <w:vAlign w:val="center"/>
          </w:tcPr>
          <w:p w14:paraId="0E3C5F3A">
            <w:pPr>
              <w:jc w:val="center"/>
              <w:rPr>
                <w:sz w:val="24"/>
              </w:rPr>
            </w:pPr>
            <w:r>
              <w:rPr>
                <w:rFonts w:hint="eastAsia" w:hAnsiTheme="minorEastAsia"/>
                <w:sz w:val="24"/>
              </w:rPr>
              <w:t>☑制定   □修订</w:t>
            </w:r>
          </w:p>
        </w:tc>
        <w:tc>
          <w:tcPr>
            <w:tcW w:w="1701" w:type="dxa"/>
            <w:gridSpan w:val="2"/>
            <w:vAlign w:val="center"/>
          </w:tcPr>
          <w:p w14:paraId="7F897A13">
            <w:pPr>
              <w:jc w:val="center"/>
              <w:rPr>
                <w:sz w:val="24"/>
              </w:rPr>
            </w:pPr>
            <w:r>
              <w:rPr>
                <w:rFonts w:hint="eastAsia"/>
                <w:sz w:val="24"/>
              </w:rPr>
              <w:t>被修订标准号</w:t>
            </w:r>
          </w:p>
        </w:tc>
        <w:tc>
          <w:tcPr>
            <w:tcW w:w="3383" w:type="dxa"/>
            <w:vAlign w:val="center"/>
          </w:tcPr>
          <w:p w14:paraId="0647C1D0">
            <w:pPr>
              <w:rPr>
                <w:sz w:val="24"/>
              </w:rPr>
            </w:pPr>
            <w:r>
              <w:rPr>
                <w:rFonts w:hint="eastAsia"/>
                <w:sz w:val="24"/>
              </w:rPr>
              <w:t xml:space="preserve">   </w:t>
            </w:r>
          </w:p>
        </w:tc>
      </w:tr>
      <w:tr w14:paraId="7F33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80" w:type="dxa"/>
            <w:vAlign w:val="center"/>
          </w:tcPr>
          <w:p w14:paraId="1674A95E">
            <w:pPr>
              <w:jc w:val="center"/>
              <w:rPr>
                <w:sz w:val="24"/>
              </w:rPr>
            </w:pPr>
            <w:r>
              <w:rPr>
                <w:rFonts w:hint="eastAsia"/>
                <w:sz w:val="24"/>
              </w:rPr>
              <w:t>被修订标准名称</w:t>
            </w:r>
          </w:p>
        </w:tc>
        <w:tc>
          <w:tcPr>
            <w:tcW w:w="2171" w:type="dxa"/>
            <w:gridSpan w:val="2"/>
            <w:vAlign w:val="center"/>
          </w:tcPr>
          <w:p w14:paraId="0A32B1B7">
            <w:pPr>
              <w:rPr>
                <w:rFonts w:hint="eastAsia" w:hAnsiTheme="minorEastAsia"/>
                <w:i/>
                <w:iCs/>
                <w:sz w:val="24"/>
                <w:highlight w:val="yellow"/>
              </w:rPr>
            </w:pPr>
          </w:p>
        </w:tc>
        <w:tc>
          <w:tcPr>
            <w:tcW w:w="1701" w:type="dxa"/>
            <w:gridSpan w:val="2"/>
            <w:vAlign w:val="center"/>
          </w:tcPr>
          <w:p w14:paraId="3D7536CB">
            <w:pPr>
              <w:jc w:val="center"/>
              <w:rPr>
                <w:sz w:val="24"/>
              </w:rPr>
            </w:pPr>
            <w:r>
              <w:rPr>
                <w:rFonts w:hint="eastAsia"/>
                <w:sz w:val="24"/>
              </w:rPr>
              <w:t>编制周期</w:t>
            </w:r>
          </w:p>
        </w:tc>
        <w:tc>
          <w:tcPr>
            <w:tcW w:w="3383" w:type="dxa"/>
            <w:vAlign w:val="center"/>
          </w:tcPr>
          <w:p w14:paraId="0B4AF6C7">
            <w:pPr>
              <w:rPr>
                <w:rFonts w:hint="eastAsia" w:hAnsiTheme="minorEastAsia"/>
                <w:sz w:val="24"/>
              </w:rPr>
            </w:pPr>
            <w:r>
              <w:rPr>
                <w:rFonts w:hint="eastAsia" w:hAnsiTheme="minorEastAsia"/>
                <w:sz w:val="24"/>
              </w:rPr>
              <w:t xml:space="preserve">☑12个月  □18个月   </w:t>
            </w:r>
          </w:p>
          <w:p w14:paraId="6AA12719">
            <w:pPr>
              <w:rPr>
                <w:sz w:val="24"/>
              </w:rPr>
            </w:pPr>
            <w:r>
              <w:rPr>
                <w:rFonts w:hint="eastAsia" w:hAnsiTheme="minorEastAsia"/>
                <w:sz w:val="24"/>
              </w:rPr>
              <w:t>□其他</w:t>
            </w:r>
            <w:r>
              <w:rPr>
                <w:rFonts w:hint="eastAsia" w:hAnsiTheme="minorEastAsia"/>
                <w:sz w:val="24"/>
                <w:u w:val="single"/>
              </w:rPr>
              <w:t xml:space="preserve">         </w:t>
            </w:r>
          </w:p>
        </w:tc>
      </w:tr>
      <w:tr w14:paraId="5E2F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3F42C6FD">
            <w:pPr>
              <w:jc w:val="center"/>
              <w:rPr>
                <w:sz w:val="24"/>
              </w:rPr>
            </w:pPr>
            <w:r>
              <w:rPr>
                <w:rFonts w:hint="eastAsia"/>
                <w:sz w:val="24"/>
              </w:rPr>
              <w:t>起草单位</w:t>
            </w:r>
          </w:p>
          <w:p w14:paraId="3D2D15DA">
            <w:pPr>
              <w:jc w:val="center"/>
              <w:rPr>
                <w:sz w:val="24"/>
              </w:rPr>
            </w:pPr>
            <w:r>
              <w:rPr>
                <w:rFonts w:hint="eastAsia"/>
                <w:sz w:val="24"/>
              </w:rPr>
              <w:t>（不少于3家）</w:t>
            </w:r>
          </w:p>
        </w:tc>
        <w:tc>
          <w:tcPr>
            <w:tcW w:w="7255" w:type="dxa"/>
            <w:gridSpan w:val="5"/>
            <w:vAlign w:val="center"/>
          </w:tcPr>
          <w:p w14:paraId="10EA480A">
            <w:pPr>
              <w:jc w:val="center"/>
              <w:rPr>
                <w:sz w:val="24"/>
              </w:rPr>
            </w:pPr>
            <w:r>
              <w:rPr>
                <w:rFonts w:hint="eastAsia"/>
                <w:sz w:val="24"/>
                <w:lang w:val="en-US"/>
              </w:rPr>
              <w:t>澄瑞电力科技（上海）股份公司、武汉理工大学</w:t>
            </w:r>
          </w:p>
        </w:tc>
      </w:tr>
      <w:tr w14:paraId="19CD8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17DD6EC3">
            <w:pPr>
              <w:jc w:val="center"/>
              <w:rPr>
                <w:sz w:val="24"/>
              </w:rPr>
            </w:pPr>
            <w:r>
              <w:rPr>
                <w:rFonts w:hint="eastAsia"/>
                <w:sz w:val="24"/>
              </w:rPr>
              <w:t>联系人</w:t>
            </w:r>
          </w:p>
        </w:tc>
        <w:tc>
          <w:tcPr>
            <w:tcW w:w="2139" w:type="dxa"/>
            <w:vAlign w:val="center"/>
          </w:tcPr>
          <w:p w14:paraId="601B4C21">
            <w:pPr>
              <w:jc w:val="center"/>
              <w:rPr>
                <w:sz w:val="24"/>
              </w:rPr>
            </w:pPr>
            <w:r>
              <w:rPr>
                <w:rFonts w:hint="eastAsia"/>
                <w:sz w:val="24"/>
                <w:lang w:val="en-US"/>
              </w:rPr>
              <w:t>胡金杭</w:t>
            </w:r>
          </w:p>
        </w:tc>
        <w:tc>
          <w:tcPr>
            <w:tcW w:w="855" w:type="dxa"/>
            <w:gridSpan w:val="2"/>
            <w:vAlign w:val="center"/>
          </w:tcPr>
          <w:p w14:paraId="5B16A63D">
            <w:pPr>
              <w:jc w:val="center"/>
              <w:rPr>
                <w:sz w:val="24"/>
              </w:rPr>
            </w:pPr>
            <w:r>
              <w:rPr>
                <w:rFonts w:hint="eastAsia"/>
                <w:sz w:val="24"/>
              </w:rPr>
              <w:t>地址</w:t>
            </w:r>
          </w:p>
        </w:tc>
        <w:tc>
          <w:tcPr>
            <w:tcW w:w="4261" w:type="dxa"/>
            <w:gridSpan w:val="2"/>
            <w:vAlign w:val="center"/>
          </w:tcPr>
          <w:p w14:paraId="473364CF">
            <w:pPr>
              <w:jc w:val="center"/>
              <w:rPr>
                <w:sz w:val="24"/>
              </w:rPr>
            </w:pPr>
            <w:r>
              <w:rPr>
                <w:rFonts w:hint="eastAsia"/>
                <w:sz w:val="24"/>
                <w:lang w:val="en-US"/>
              </w:rPr>
              <w:t>江苏省南京市江宁区胜太路99号3号楼</w:t>
            </w:r>
          </w:p>
        </w:tc>
      </w:tr>
      <w:tr w14:paraId="7B79C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60471D98">
            <w:pPr>
              <w:jc w:val="center"/>
              <w:rPr>
                <w:sz w:val="24"/>
              </w:rPr>
            </w:pPr>
            <w:r>
              <w:rPr>
                <w:rFonts w:hint="eastAsia"/>
                <w:sz w:val="24"/>
              </w:rPr>
              <w:t>电话</w:t>
            </w:r>
          </w:p>
        </w:tc>
        <w:tc>
          <w:tcPr>
            <w:tcW w:w="2139" w:type="dxa"/>
            <w:vAlign w:val="center"/>
          </w:tcPr>
          <w:p w14:paraId="4EE4EE9E">
            <w:pPr>
              <w:jc w:val="center"/>
              <w:rPr>
                <w:sz w:val="24"/>
              </w:rPr>
            </w:pPr>
            <w:r>
              <w:rPr>
                <w:sz w:val="24"/>
              </w:rPr>
              <w:t>13645198298</w:t>
            </w:r>
          </w:p>
        </w:tc>
        <w:tc>
          <w:tcPr>
            <w:tcW w:w="855" w:type="dxa"/>
            <w:gridSpan w:val="2"/>
            <w:vAlign w:val="center"/>
          </w:tcPr>
          <w:p w14:paraId="06895B11">
            <w:pPr>
              <w:jc w:val="center"/>
              <w:rPr>
                <w:sz w:val="24"/>
              </w:rPr>
            </w:pPr>
            <w:r>
              <w:rPr>
                <w:rFonts w:hint="eastAsia"/>
                <w:sz w:val="24"/>
              </w:rPr>
              <w:t>邮箱</w:t>
            </w:r>
          </w:p>
        </w:tc>
        <w:tc>
          <w:tcPr>
            <w:tcW w:w="4261" w:type="dxa"/>
            <w:gridSpan w:val="2"/>
            <w:vAlign w:val="center"/>
          </w:tcPr>
          <w:p w14:paraId="60D5D3E9">
            <w:pPr>
              <w:jc w:val="center"/>
              <w:rPr>
                <w:sz w:val="24"/>
              </w:rPr>
            </w:pPr>
            <w:r>
              <w:rPr>
                <w:sz w:val="24"/>
              </w:rPr>
              <w:t>hu.jinhang@chengrui-energy.com</w:t>
            </w:r>
          </w:p>
        </w:tc>
      </w:tr>
      <w:tr w14:paraId="526C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980" w:type="dxa"/>
            <w:vAlign w:val="center"/>
          </w:tcPr>
          <w:p w14:paraId="024AD58E">
            <w:pPr>
              <w:jc w:val="center"/>
              <w:rPr>
                <w:sz w:val="24"/>
              </w:rPr>
            </w:pPr>
            <w:r>
              <w:rPr>
                <w:rFonts w:hint="eastAsia"/>
                <w:sz w:val="24"/>
              </w:rPr>
              <w:t>技术与市场</w:t>
            </w:r>
          </w:p>
          <w:p w14:paraId="3BE76EB4">
            <w:pPr>
              <w:jc w:val="center"/>
              <w:rPr>
                <w:sz w:val="24"/>
              </w:rPr>
            </w:pPr>
            <w:r>
              <w:rPr>
                <w:rFonts w:hint="eastAsia"/>
                <w:sz w:val="24"/>
              </w:rPr>
              <w:t>发展背景</w:t>
            </w:r>
          </w:p>
        </w:tc>
        <w:tc>
          <w:tcPr>
            <w:tcW w:w="7255" w:type="dxa"/>
            <w:gridSpan w:val="5"/>
            <w:vAlign w:val="center"/>
          </w:tcPr>
          <w:p w14:paraId="73717D6E">
            <w:pPr>
              <w:ind w:firstLine="480" w:firstLineChars="200"/>
              <w:rPr>
                <w:sz w:val="24"/>
                <w:lang w:val="en-US"/>
              </w:rPr>
            </w:pPr>
            <w:r>
              <w:rPr>
                <w:rFonts w:hint="eastAsia"/>
                <w:sz w:val="24"/>
                <w:lang w:val="en-US"/>
              </w:rPr>
              <w:t>锂电池、氢燃料电池等技术逐步成熟，带动船舶电动化。中国</w:t>
            </w:r>
            <w:r>
              <w:rPr>
                <w:rFonts w:hint="eastAsia"/>
                <w:sz w:val="24"/>
                <w:lang w:val="en-US" w:eastAsia="zh-CN"/>
              </w:rPr>
              <w:t>电池动力船用功率变换器</w:t>
            </w:r>
            <w:r>
              <w:rPr>
                <w:rFonts w:hint="eastAsia"/>
                <w:sz w:val="24"/>
                <w:lang w:val="en-US"/>
              </w:rPr>
              <w:t>市场在2025-2030年呈现快速增长趋势。随着内河沿海短途航运对电动化需求迫切，中国“电池银行”模式快速发展。政策和市场双重推动技术标准化，例如，国内已发布《船舶电力推进变频器》（GB/T 35701-2017），规范电力推进变频器的设计、制造和试验。但是目前船舶推进系统功率需求从数百千瓦到数兆瓦不等，传统功率变换器主要适用于电力推进船舶，在新能源船舶领域应用中的电池控制与能量调度方面匹配性不高。内河航运、港口作业船等场景需求激增，容易暴露安全隐患，亟需统一技术标准。</w:t>
            </w:r>
          </w:p>
          <w:p w14:paraId="55F316DE">
            <w:pPr>
              <w:ind w:firstLine="480" w:firstLineChars="200"/>
              <w:rPr>
                <w:sz w:val="24"/>
                <w:lang w:val="en-US"/>
              </w:rPr>
            </w:pPr>
            <w:r>
              <w:rPr>
                <w:rFonts w:hint="eastAsia"/>
                <w:sz w:val="24"/>
                <w:lang w:val="en-US"/>
              </w:rPr>
              <w:t>国际企业占据高端市场，国内企业加快布局，但关键器件（如IGBT）仍依赖进口，船用环境要求功率变换器耐盐雾、抗振动、宽温域运行，推动封装材料和散热技术革新。中国厂商需要突破IGBT/SiC模块封装技术，提高</w:t>
            </w:r>
            <w:r>
              <w:rPr>
                <w:rFonts w:hint="eastAsia"/>
                <w:sz w:val="24"/>
                <w:szCs w:val="24"/>
              </w:rPr>
              <w:t>船用功率变换器</w:t>
            </w:r>
            <w:r>
              <w:rPr>
                <w:rFonts w:hint="eastAsia"/>
                <w:sz w:val="24"/>
                <w:szCs w:val="24"/>
                <w:lang w:val="en-US"/>
              </w:rPr>
              <w:t>的技术水平，</w:t>
            </w:r>
            <w:r>
              <w:rPr>
                <w:rFonts w:hint="eastAsia"/>
                <w:sz w:val="24"/>
                <w:lang w:val="en-US"/>
              </w:rPr>
              <w:t>加速国产化率的提升。从半导体厂商到系统集成商，全产业链需协同研发降低系统成本。</w:t>
            </w:r>
          </w:p>
          <w:p w14:paraId="6398E4E1">
            <w:pPr>
              <w:ind w:firstLine="480" w:firstLineChars="200"/>
              <w:rPr>
                <w:sz w:val="24"/>
                <w:lang w:val="en-US"/>
              </w:rPr>
            </w:pPr>
            <w:r>
              <w:rPr>
                <w:rFonts w:hint="eastAsia"/>
                <w:sz w:val="24"/>
                <w:lang w:val="en-US"/>
              </w:rPr>
              <w:t>根据应用场景需求，</w:t>
            </w:r>
            <w:r>
              <w:rPr>
                <w:rFonts w:hint="eastAsia"/>
                <w:sz w:val="24"/>
                <w:szCs w:val="24"/>
              </w:rPr>
              <w:t>船用功率变换器</w:t>
            </w:r>
            <w:r>
              <w:rPr>
                <w:rFonts w:hint="eastAsia"/>
                <w:sz w:val="24"/>
                <w:szCs w:val="24"/>
                <w:lang w:val="en-US"/>
              </w:rPr>
              <w:t>还需</w:t>
            </w:r>
            <w:r>
              <w:rPr>
                <w:rFonts w:hint="eastAsia"/>
                <w:sz w:val="24"/>
                <w:lang w:val="en-US"/>
              </w:rPr>
              <w:t>通过集成AI算法实现故障预测、自适应调节等功能，提升系统智能化水平。未来竞争将聚焦于 “更高效率、更强兼容、更智能控制” 三大维度，率先突破宽禁带半导体应用、多能源系统集成及AI预测控制技术的企业，将主导全球船用新能源电力装备市场。</w:t>
            </w:r>
          </w:p>
        </w:tc>
      </w:tr>
      <w:tr w14:paraId="7332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980" w:type="dxa"/>
            <w:vAlign w:val="center"/>
          </w:tcPr>
          <w:p w14:paraId="1D033AF8">
            <w:pPr>
              <w:jc w:val="center"/>
              <w:rPr>
                <w:sz w:val="24"/>
              </w:rPr>
            </w:pPr>
            <w:r>
              <w:rPr>
                <w:rFonts w:hint="eastAsia"/>
                <w:sz w:val="24"/>
              </w:rPr>
              <w:t>标准必要性和</w:t>
            </w:r>
          </w:p>
          <w:p w14:paraId="7293F63B">
            <w:pPr>
              <w:jc w:val="center"/>
              <w:rPr>
                <w:sz w:val="24"/>
              </w:rPr>
            </w:pPr>
            <w:r>
              <w:rPr>
                <w:rFonts w:hint="eastAsia"/>
                <w:sz w:val="24"/>
              </w:rPr>
              <w:t>可行性</w:t>
            </w:r>
          </w:p>
        </w:tc>
        <w:tc>
          <w:tcPr>
            <w:tcW w:w="7255" w:type="dxa"/>
            <w:gridSpan w:val="5"/>
            <w:vAlign w:val="center"/>
          </w:tcPr>
          <w:p w14:paraId="73F45040">
            <w:pPr>
              <w:ind w:firstLine="480" w:firstLineChars="200"/>
              <w:rPr>
                <w:b w:val="0"/>
                <w:bCs w:val="0"/>
                <w:i/>
                <w:iCs/>
                <w:sz w:val="24"/>
                <w:szCs w:val="24"/>
                <w:highlight w:val="yellow"/>
                <w:lang w:val="en-US"/>
              </w:rPr>
            </w:pPr>
            <w:bookmarkStart w:id="1" w:name="_GoBack"/>
            <w:r>
              <w:rPr>
                <w:rFonts w:hint="eastAsia"/>
                <w:b w:val="0"/>
                <w:bCs w:val="0"/>
                <w:sz w:val="24"/>
                <w:szCs w:val="24"/>
                <w:lang w:eastAsia="zh-CN"/>
              </w:rPr>
              <w:t>电池动力船用功率变换器</w:t>
            </w:r>
            <w:r>
              <w:rPr>
                <w:rFonts w:hint="eastAsia"/>
                <w:b w:val="0"/>
                <w:bCs w:val="0"/>
                <w:sz w:val="24"/>
                <w:szCs w:val="24"/>
              </w:rPr>
              <w:t>技术要求</w:t>
            </w:r>
            <w:r>
              <w:rPr>
                <w:rFonts w:hint="eastAsia"/>
                <w:b w:val="0"/>
                <w:bCs w:val="0"/>
                <w:sz w:val="24"/>
                <w:szCs w:val="24"/>
                <w:lang w:val="en-US"/>
              </w:rPr>
              <w:t>标准的必要性：</w:t>
            </w:r>
          </w:p>
          <w:p w14:paraId="43CC111F">
            <w:pPr>
              <w:numPr>
                <w:ilvl w:val="0"/>
                <w:numId w:val="1"/>
              </w:numPr>
              <w:ind w:firstLine="480" w:firstLineChars="200"/>
              <w:rPr>
                <w:b w:val="0"/>
                <w:bCs w:val="0"/>
                <w:color w:val="auto"/>
                <w:sz w:val="24"/>
                <w:lang w:val="en-US"/>
              </w:rPr>
            </w:pPr>
            <w:r>
              <w:rPr>
                <w:rFonts w:hint="eastAsia"/>
                <w:b w:val="0"/>
                <w:bCs w:val="0"/>
                <w:sz w:val="24"/>
                <w:lang w:val="en-US"/>
              </w:rPr>
              <w:t>填补标准空白，减少系统集成难度，规范行业发展：当前</w:t>
            </w:r>
            <w:r>
              <w:rPr>
                <w:rFonts w:hint="eastAsia"/>
                <w:b w:val="0"/>
                <w:bCs w:val="0"/>
                <w:sz w:val="24"/>
                <w:lang w:val="en-US" w:eastAsia="zh-CN"/>
              </w:rPr>
              <w:t>电池动力船用功率变换器</w:t>
            </w:r>
            <w:r>
              <w:rPr>
                <w:rFonts w:hint="eastAsia"/>
                <w:b w:val="0"/>
                <w:bCs w:val="0"/>
                <w:sz w:val="24"/>
                <w:lang w:val="en-US"/>
              </w:rPr>
              <w:t>缺乏统一规范，不同厂商产品在电压等级、通信协议、保护逻辑等方面差异显著，导致系统集成困难。本标准建设可提升设备兼容性与系统稳定性，通过统一的技术规范，确保不同厂商生产的船用直流功率变换器在接口、性能及通信协议上兼容，避免因技术参数差异导致的系统冲突，增强船舶电力网络的整体稳定性</w:t>
            </w:r>
            <w:r>
              <w:rPr>
                <w:rFonts w:hint="eastAsia"/>
                <w:b w:val="0"/>
                <w:bCs w:val="0"/>
                <w:color w:val="auto"/>
                <w:sz w:val="24"/>
                <w:lang w:val="en-US"/>
              </w:rPr>
              <w:t>。</w:t>
            </w:r>
          </w:p>
          <w:p w14:paraId="1FADB620">
            <w:pPr>
              <w:numPr>
                <w:ilvl w:val="0"/>
                <w:numId w:val="1"/>
              </w:numPr>
              <w:ind w:firstLine="480" w:firstLineChars="200"/>
              <w:rPr>
                <w:b w:val="0"/>
                <w:bCs w:val="0"/>
                <w:color w:val="auto"/>
                <w:sz w:val="24"/>
                <w:lang w:val="en-US"/>
              </w:rPr>
            </w:pPr>
            <w:r>
              <w:rPr>
                <w:rFonts w:hint="eastAsia"/>
                <w:b w:val="0"/>
                <w:bCs w:val="0"/>
                <w:color w:val="auto"/>
                <w:sz w:val="24"/>
                <w:lang w:val="en-US"/>
              </w:rPr>
              <w:t>技术统一需求：标准通过规定设备的环境适应性、防护等级及故障保护机制，确保功率变换器在极端条件下可靠运行，降低因设备故障引发的航行安全风险。</w:t>
            </w:r>
          </w:p>
          <w:p w14:paraId="5D4EFD8B">
            <w:pPr>
              <w:numPr>
                <w:ilvl w:val="0"/>
                <w:numId w:val="1"/>
              </w:numPr>
              <w:ind w:firstLine="480" w:firstLineChars="200"/>
              <w:rPr>
                <w:sz w:val="24"/>
                <w:lang w:val="en-US"/>
              </w:rPr>
            </w:pPr>
            <w:r>
              <w:rPr>
                <w:rFonts w:hint="eastAsia"/>
                <w:b w:val="0"/>
                <w:bCs w:val="0"/>
                <w:color w:val="auto"/>
                <w:sz w:val="24"/>
                <w:lang w:val="en-US"/>
              </w:rPr>
              <w:t>标准契合“海洋强国”“制造强国”</w:t>
            </w:r>
            <w:r>
              <w:rPr>
                <w:rFonts w:hint="eastAsia"/>
                <w:b w:val="0"/>
                <w:bCs w:val="0"/>
                <w:sz w:val="24"/>
                <w:lang w:val="en-US"/>
              </w:rPr>
              <w:t>战略：</w:t>
            </w:r>
            <w:bookmarkEnd w:id="1"/>
            <w:r>
              <w:rPr>
                <w:rFonts w:hint="eastAsia"/>
                <w:sz w:val="24"/>
                <w:lang w:val="en-US"/>
              </w:rPr>
              <w:t>对标国际标准，推动国产设备符合全球技术要求，助力中国船舶装备走向国际市场。</w:t>
            </w:r>
          </w:p>
          <w:p w14:paraId="2FE14966">
            <w:pPr>
              <w:ind w:firstLine="480" w:firstLineChars="200"/>
              <w:rPr>
                <w:i/>
                <w:iCs/>
                <w:sz w:val="24"/>
                <w:szCs w:val="24"/>
                <w:highlight w:val="none"/>
                <w:lang w:val="en-US"/>
              </w:rPr>
            </w:pPr>
            <w:r>
              <w:rPr>
                <w:rFonts w:hint="eastAsia"/>
                <w:sz w:val="24"/>
                <w:szCs w:val="24"/>
                <w:highlight w:val="none"/>
                <w:lang w:eastAsia="zh-CN"/>
              </w:rPr>
              <w:t>电池动力船用功率变换器</w:t>
            </w:r>
            <w:r>
              <w:rPr>
                <w:rFonts w:hint="eastAsia"/>
                <w:sz w:val="24"/>
                <w:szCs w:val="24"/>
                <w:highlight w:val="none"/>
              </w:rPr>
              <w:t>技术要求</w:t>
            </w:r>
            <w:r>
              <w:rPr>
                <w:rFonts w:hint="eastAsia"/>
                <w:sz w:val="24"/>
                <w:szCs w:val="24"/>
                <w:highlight w:val="none"/>
                <w:lang w:val="en-US"/>
              </w:rPr>
              <w:t>标准的可行性：</w:t>
            </w:r>
          </w:p>
          <w:p w14:paraId="5109C05A">
            <w:pPr>
              <w:numPr>
                <w:ilvl w:val="-1"/>
                <w:numId w:val="0"/>
              </w:numPr>
              <w:ind w:firstLine="480" w:firstLineChars="200"/>
              <w:rPr>
                <w:sz w:val="24"/>
                <w:highlight w:val="yellow"/>
                <w:lang w:val="en-US"/>
              </w:rPr>
            </w:pPr>
            <w:r>
              <w:rPr>
                <w:rFonts w:hint="eastAsia"/>
                <w:sz w:val="24"/>
                <w:highlight w:val="none"/>
                <w:lang w:val="en-US" w:eastAsia="zh-CN"/>
              </w:rPr>
              <w:t>1、</w:t>
            </w:r>
            <w:r>
              <w:rPr>
                <w:rFonts w:hint="eastAsia"/>
                <w:sz w:val="24"/>
                <w:highlight w:val="none"/>
                <w:lang w:val="en-US"/>
              </w:rPr>
              <w:t>中国《智能船舶发展行动计划》明确要求“研发兆瓦级船用功率变换器，支持1500V以上高压直流架构”（工信部联装〔2022〕48号），为标准化提供顶层设计依据</w:t>
            </w:r>
            <w:r>
              <w:rPr>
                <w:rFonts w:hint="eastAsia"/>
                <w:sz w:val="24"/>
                <w:highlight w:val="none"/>
                <w:lang w:val="en-US" w:eastAsia="zh-CN"/>
              </w:rPr>
              <w:t>，</w:t>
            </w:r>
            <w:r>
              <w:rPr>
                <w:rFonts w:hint="eastAsia"/>
                <w:sz w:val="24"/>
                <w:highlight w:val="none"/>
                <w:lang w:val="en-US"/>
              </w:rPr>
              <w:t>加速</w:t>
            </w:r>
            <w:r>
              <w:rPr>
                <w:rFonts w:hint="eastAsia"/>
                <w:sz w:val="24"/>
                <w:highlight w:val="none"/>
                <w:lang w:val="en-US" w:eastAsia="zh-CN"/>
              </w:rPr>
              <w:t>电动船舶</w:t>
            </w:r>
            <w:r>
              <w:rPr>
                <w:rFonts w:hint="eastAsia"/>
                <w:sz w:val="24"/>
                <w:highlight w:val="none"/>
                <w:lang w:val="en-US"/>
              </w:rPr>
              <w:t>领域功率变换器细分标准落地。</w:t>
            </w:r>
          </w:p>
          <w:p w14:paraId="7DD1FB27">
            <w:pPr>
              <w:numPr>
                <w:ilvl w:val="-1"/>
                <w:numId w:val="0"/>
              </w:numPr>
              <w:ind w:firstLine="480" w:firstLineChars="200"/>
              <w:rPr>
                <w:sz w:val="24"/>
                <w:lang w:val="en-US"/>
              </w:rPr>
            </w:pPr>
            <w:r>
              <w:rPr>
                <w:rFonts w:hint="eastAsia"/>
                <w:sz w:val="24"/>
                <w:lang w:val="en-US" w:eastAsia="zh-CN"/>
              </w:rPr>
              <w:t>2、</w:t>
            </w:r>
            <w:r>
              <w:rPr>
                <w:rFonts w:hint="eastAsia"/>
                <w:sz w:val="24"/>
                <w:lang w:val="en-US"/>
              </w:rPr>
              <w:t>陆上新能源发电（光伏/风电）的功率变换器标准可部分借鉴，船舶应用已有一定技术积累。</w:t>
            </w:r>
          </w:p>
          <w:p w14:paraId="6995CFC7">
            <w:pPr>
              <w:numPr>
                <w:ilvl w:val="-1"/>
                <w:numId w:val="0"/>
              </w:numPr>
              <w:ind w:firstLine="480" w:firstLineChars="200"/>
              <w:rPr>
                <w:sz w:val="24"/>
                <w:lang w:val="en-US"/>
              </w:rPr>
            </w:pPr>
            <w:r>
              <w:rPr>
                <w:rFonts w:hint="eastAsia"/>
                <w:sz w:val="24"/>
                <w:lang w:val="en-US" w:eastAsia="zh-CN"/>
              </w:rPr>
              <w:t>3、</w:t>
            </w:r>
            <w:r>
              <w:rPr>
                <w:sz w:val="24"/>
                <w:lang w:val="en-US"/>
              </w:rPr>
              <w:t>头部企业已推出船用产品，标准化可降低研发成本</w:t>
            </w:r>
            <w:r>
              <w:rPr>
                <w:rFonts w:hint="eastAsia"/>
                <w:sz w:val="24"/>
                <w:lang w:val="en-US"/>
              </w:rPr>
              <w:t>。</w:t>
            </w:r>
          </w:p>
        </w:tc>
      </w:tr>
      <w:tr w14:paraId="1B5DC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980" w:type="dxa"/>
            <w:vAlign w:val="center"/>
          </w:tcPr>
          <w:p w14:paraId="38AFDFB0">
            <w:pPr>
              <w:jc w:val="center"/>
              <w:rPr>
                <w:rFonts w:hint="eastAsia" w:ascii="宋体" w:hAnsi="宋体"/>
                <w:sz w:val="24"/>
              </w:rPr>
            </w:pPr>
            <w:r>
              <w:rPr>
                <w:rFonts w:hint="eastAsia" w:ascii="宋体" w:hAnsi="宋体"/>
                <w:sz w:val="24"/>
              </w:rPr>
              <w:t>国内外情况</w:t>
            </w:r>
          </w:p>
          <w:p w14:paraId="0CB44C2F">
            <w:pPr>
              <w:jc w:val="center"/>
              <w:rPr>
                <w:sz w:val="24"/>
              </w:rPr>
            </w:pPr>
            <w:r>
              <w:rPr>
                <w:rFonts w:hint="eastAsia" w:ascii="宋体" w:hAnsi="宋体"/>
                <w:sz w:val="24"/>
              </w:rPr>
              <w:t>简要说明</w:t>
            </w:r>
          </w:p>
        </w:tc>
        <w:tc>
          <w:tcPr>
            <w:tcW w:w="7255" w:type="dxa"/>
            <w:gridSpan w:val="5"/>
            <w:vAlign w:val="center"/>
          </w:tcPr>
          <w:p w14:paraId="069C2614">
            <w:pPr>
              <w:ind w:firstLine="480" w:firstLineChars="200"/>
              <w:rPr>
                <w:rFonts w:hint="default" w:eastAsiaTheme="minorEastAsia"/>
                <w:sz w:val="24"/>
                <w:lang w:val="en-US" w:eastAsia="zh-CN"/>
              </w:rPr>
            </w:pPr>
            <w:r>
              <w:rPr>
                <w:rFonts w:hint="eastAsia"/>
                <w:sz w:val="24"/>
                <w:lang w:val="en-US"/>
              </w:rPr>
              <w:t>国家推出多项政策支持绿色船舶发展，</w:t>
            </w:r>
            <w:r>
              <w:rPr>
                <w:rFonts w:hint="eastAsia"/>
                <w:sz w:val="24"/>
                <w:lang w:val="en-US" w:eastAsia="zh-CN"/>
              </w:rPr>
              <w:t>现有标准</w:t>
            </w:r>
            <w:r>
              <w:rPr>
                <w:rFonts w:hint="eastAsia"/>
                <w:sz w:val="24"/>
                <w:lang w:val="en-US"/>
              </w:rPr>
              <w:t>例如GB 20052-2024电力变压器能效限定值及能效等级</w:t>
            </w:r>
            <w:r>
              <w:rPr>
                <w:rFonts w:hint="eastAsia"/>
                <w:sz w:val="24"/>
                <w:lang w:val="en-US" w:eastAsia="zh-CN"/>
              </w:rPr>
              <w:t>，</w:t>
            </w:r>
            <w:r>
              <w:rPr>
                <w:rFonts w:hint="eastAsia"/>
                <w:sz w:val="24"/>
                <w:lang w:val="en-US"/>
              </w:rPr>
              <w:t>新增新能源船舶用变压器的能效要求，推动功率变换器向高效节能方向发展</w:t>
            </w:r>
            <w:r>
              <w:rPr>
                <w:rFonts w:hint="eastAsia"/>
                <w:sz w:val="24"/>
                <w:lang w:val="en-US" w:eastAsia="zh-CN"/>
              </w:rPr>
              <w:t>；</w:t>
            </w:r>
            <w:r>
              <w:rPr>
                <w:rFonts w:hint="eastAsia"/>
                <w:sz w:val="24"/>
                <w:lang w:val="en-US"/>
              </w:rPr>
              <w:t>GB/T 36282电动汽车用DC/DC变换器标准</w:t>
            </w:r>
            <w:r>
              <w:rPr>
                <w:rFonts w:hint="eastAsia"/>
                <w:sz w:val="24"/>
                <w:lang w:val="en-US" w:eastAsia="zh-CN"/>
              </w:rPr>
              <w:t>主要用于电动汽车领域；GB/T 3859 2013半导体变流器通用要求针对工业电力变流设备的通用要求进行规定。</w:t>
            </w:r>
          </w:p>
          <w:p w14:paraId="6C83E207">
            <w:pPr>
              <w:ind w:firstLine="480" w:firstLineChars="200"/>
              <w:rPr>
                <w:rFonts w:hint="eastAsia"/>
                <w:sz w:val="24"/>
                <w:lang w:val="en-US" w:eastAsia="zh-CN"/>
              </w:rPr>
            </w:pPr>
            <w:r>
              <w:rPr>
                <w:rFonts w:hint="eastAsia"/>
                <w:sz w:val="24"/>
                <w:lang w:val="en-US"/>
              </w:rPr>
              <w:t>中国船级社（CCS）在《钢质海船入级规范》中提出了船舶直流配电系统的设计要求，但对功率变换器的并网控制、动态响应等关键技术细节尚未形成详细规范</w:t>
            </w:r>
            <w:r>
              <w:rPr>
                <w:rFonts w:hint="eastAsia"/>
                <w:sz w:val="24"/>
                <w:lang w:val="en-US" w:eastAsia="zh-CN"/>
              </w:rPr>
              <w:t>。</w:t>
            </w:r>
          </w:p>
          <w:p w14:paraId="24B5DD2A">
            <w:pPr>
              <w:ind w:firstLine="480" w:firstLineChars="200"/>
              <w:rPr>
                <w:rFonts w:hint="default" w:eastAsiaTheme="minorEastAsia"/>
                <w:sz w:val="24"/>
                <w:lang w:val="en-US" w:eastAsia="zh-CN"/>
              </w:rPr>
            </w:pPr>
            <w:r>
              <w:rPr>
                <w:rFonts w:hint="eastAsia"/>
                <w:sz w:val="24"/>
                <w:lang w:val="en-US"/>
              </w:rPr>
              <w:t>欧美企业在高压大功率变流器的模块化设计和高效能拓扑结构上占据优势，部分产品效率可达98%以上，并在专利布局占据主导，形成技术封锁。</w:t>
            </w:r>
            <w:r>
              <w:rPr>
                <w:rFonts w:hint="eastAsia"/>
                <w:sz w:val="24"/>
                <w:lang w:val="en-US" w:eastAsia="zh-CN"/>
              </w:rPr>
              <w:t>但未找到</w:t>
            </w:r>
            <w:r>
              <w:rPr>
                <w:rFonts w:hint="eastAsia"/>
                <w:sz w:val="24"/>
                <w:lang w:val="en-US"/>
              </w:rPr>
              <w:t>船</w:t>
            </w:r>
            <w:r>
              <w:rPr>
                <w:rFonts w:hint="eastAsia"/>
                <w:sz w:val="24"/>
                <w:lang w:val="en-US" w:eastAsia="zh-CN"/>
              </w:rPr>
              <w:t>舶</w:t>
            </w:r>
            <w:r>
              <w:rPr>
                <w:rFonts w:hint="eastAsia"/>
                <w:sz w:val="24"/>
                <w:lang w:val="en-US"/>
              </w:rPr>
              <w:t>功率变换器的</w:t>
            </w:r>
            <w:r>
              <w:rPr>
                <w:rFonts w:hint="eastAsia"/>
                <w:sz w:val="24"/>
                <w:lang w:val="en-US" w:eastAsia="zh-CN"/>
              </w:rPr>
              <w:t>船用</w:t>
            </w:r>
            <w:r>
              <w:rPr>
                <w:rFonts w:hint="eastAsia"/>
                <w:sz w:val="24"/>
                <w:lang w:val="en-US"/>
              </w:rPr>
              <w:t>专项标准</w:t>
            </w:r>
            <w:r>
              <w:rPr>
                <w:rFonts w:hint="eastAsia"/>
                <w:sz w:val="24"/>
                <w:lang w:val="en-US" w:eastAsia="zh-CN"/>
              </w:rPr>
              <w:t>以及明确要求，目前</w:t>
            </w:r>
            <w:r>
              <w:rPr>
                <w:rFonts w:hint="eastAsia"/>
                <w:sz w:val="24"/>
                <w:szCs w:val="24"/>
              </w:rPr>
              <w:t>电池动力船用功率变换器</w:t>
            </w:r>
            <w:r>
              <w:rPr>
                <w:rFonts w:hint="eastAsia"/>
                <w:sz w:val="24"/>
                <w:szCs w:val="24"/>
                <w:lang w:val="en-US" w:eastAsia="zh-CN"/>
              </w:rPr>
              <w:t>细分领域标准</w:t>
            </w:r>
            <w:r>
              <w:rPr>
                <w:rFonts w:hint="eastAsia"/>
                <w:sz w:val="24"/>
                <w:lang w:val="en-US"/>
              </w:rPr>
              <w:t>仍处于起步阶段。</w:t>
            </w:r>
          </w:p>
          <w:p w14:paraId="302D25A3">
            <w:pPr>
              <w:ind w:firstLine="480" w:firstLineChars="200"/>
              <w:rPr>
                <w:rFonts w:hint="eastAsia"/>
                <w:sz w:val="24"/>
                <w:lang w:val="en-US"/>
              </w:rPr>
            </w:pPr>
            <w:r>
              <w:rPr>
                <w:rFonts w:hint="eastAsia"/>
                <w:sz w:val="24"/>
                <w:highlight w:val="none"/>
                <w:lang w:val="en-US" w:eastAsia="zh-CN"/>
              </w:rPr>
              <w:t>本标准特别针对</w:t>
            </w:r>
            <w:r>
              <w:rPr>
                <w:rFonts w:hint="eastAsia"/>
                <w:sz w:val="24"/>
                <w:szCs w:val="24"/>
                <w:highlight w:val="none"/>
              </w:rPr>
              <w:t>电</w:t>
            </w:r>
            <w:r>
              <w:rPr>
                <w:rFonts w:hint="eastAsia"/>
                <w:sz w:val="24"/>
                <w:szCs w:val="24"/>
              </w:rPr>
              <w:t>池动力船</w:t>
            </w:r>
            <w:r>
              <w:rPr>
                <w:rFonts w:hint="eastAsia"/>
                <w:sz w:val="24"/>
                <w:szCs w:val="24"/>
                <w:lang w:val="en-US" w:eastAsia="zh-CN"/>
              </w:rPr>
              <w:t>舶应用场景，规定了船用功率变换器的要求试验方法和检验规则，新增船用温湿度、盐雾等环境要求。本标准研究的功率模块产品，已在内河电动船舶等场景上初步应用。</w:t>
            </w:r>
          </w:p>
        </w:tc>
      </w:tr>
      <w:tr w14:paraId="5327A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980" w:type="dxa"/>
            <w:vAlign w:val="center"/>
          </w:tcPr>
          <w:p w14:paraId="5AEF059E">
            <w:pPr>
              <w:jc w:val="center"/>
              <w:rPr>
                <w:sz w:val="24"/>
              </w:rPr>
            </w:pPr>
            <w:r>
              <w:rPr>
                <w:rFonts w:hint="eastAsia"/>
                <w:sz w:val="24"/>
              </w:rPr>
              <w:t>标准适用范围</w:t>
            </w:r>
          </w:p>
          <w:p w14:paraId="3C159DB1">
            <w:pPr>
              <w:jc w:val="center"/>
              <w:rPr>
                <w:sz w:val="24"/>
              </w:rPr>
            </w:pPr>
            <w:r>
              <w:rPr>
                <w:rFonts w:hint="eastAsia"/>
                <w:sz w:val="24"/>
              </w:rPr>
              <w:t>和主要技术内容</w:t>
            </w:r>
          </w:p>
        </w:tc>
        <w:tc>
          <w:tcPr>
            <w:tcW w:w="7255" w:type="dxa"/>
            <w:gridSpan w:val="5"/>
            <w:vAlign w:val="center"/>
          </w:tcPr>
          <w:p w14:paraId="172F2071">
            <w:pPr>
              <w:ind w:firstLine="480" w:firstLineChars="200"/>
              <w:rPr>
                <w:i w:val="0"/>
                <w:sz w:val="24"/>
                <w:u w:val="none"/>
                <w:lang w:val="en-US"/>
              </w:rPr>
            </w:pPr>
            <w:r>
              <w:rPr>
                <w:rFonts w:hint="eastAsia"/>
                <w:i w:val="0"/>
                <w:sz w:val="24"/>
                <w:u w:val="none"/>
                <w:lang w:val="en-US"/>
              </w:rPr>
              <w:t>本标准规定了</w:t>
            </w:r>
            <w:r>
              <w:rPr>
                <w:rFonts w:hint="eastAsia"/>
                <w:i w:val="0"/>
                <w:sz w:val="24"/>
                <w:u w:val="none"/>
                <w:lang w:val="en-US" w:eastAsia="zh-CN"/>
              </w:rPr>
              <w:t>电池动力船用功率变换器</w:t>
            </w:r>
            <w:r>
              <w:rPr>
                <w:rFonts w:hint="eastAsia"/>
                <w:i w:val="0"/>
                <w:sz w:val="24"/>
                <w:u w:val="none"/>
                <w:lang w:val="en-US"/>
              </w:rPr>
              <w:t>的要求、试验方法、检验规则、标志、包装、运输及贮存等内容。</w:t>
            </w:r>
          </w:p>
          <w:p w14:paraId="65BD46D8">
            <w:pPr>
              <w:ind w:firstLine="480" w:firstLineChars="200"/>
              <w:rPr>
                <w:i/>
                <w:sz w:val="24"/>
                <w:u w:val="single"/>
              </w:rPr>
            </w:pPr>
            <w:r>
              <w:rPr>
                <w:rFonts w:hint="eastAsia"/>
                <w:i w:val="0"/>
                <w:sz w:val="24"/>
                <w:u w:val="none"/>
                <w:lang w:val="en-US"/>
              </w:rPr>
              <w:t>本标准适用于船舶直流电力系统中，以半导体器件（如IGBT、SiC、 MOSFET等）为核心构成的直流组网型功率变换器（以下简称“变换器”），包括直流-直流（DC/DC）、直流-交流（DC/AC）等拓扑结构的设备，适用于船舶直流微电网的能量转换、功率分配及并网控制。</w:t>
            </w:r>
          </w:p>
        </w:tc>
      </w:tr>
      <w:tr w14:paraId="2B93A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980" w:type="dxa"/>
            <w:vAlign w:val="center"/>
          </w:tcPr>
          <w:p w14:paraId="28BDEC4C">
            <w:pPr>
              <w:widowControl/>
              <w:jc w:val="center"/>
              <w:rPr>
                <w:rFonts w:hint="eastAsia" w:ascii="宋体" w:hAnsi="宋体"/>
                <w:sz w:val="24"/>
              </w:rPr>
            </w:pPr>
            <w:r>
              <w:rPr>
                <w:rFonts w:hint="eastAsia" w:ascii="宋体" w:hAnsi="宋体"/>
                <w:sz w:val="24"/>
              </w:rPr>
              <w:t>工作进度安排</w:t>
            </w:r>
          </w:p>
        </w:tc>
        <w:tc>
          <w:tcPr>
            <w:tcW w:w="7255" w:type="dxa"/>
            <w:gridSpan w:val="5"/>
            <w:vAlign w:val="center"/>
          </w:tcPr>
          <w:p w14:paraId="18F7F686">
            <w:pPr>
              <w:numPr>
                <w:ilvl w:val="0"/>
                <w:numId w:val="2"/>
              </w:numPr>
              <w:rPr>
                <w:sz w:val="24"/>
                <w:lang w:val="en-US"/>
              </w:rPr>
            </w:pPr>
            <w:r>
              <w:rPr>
                <w:rFonts w:hint="eastAsia"/>
                <w:sz w:val="24"/>
                <w:lang w:val="en-US"/>
              </w:rPr>
              <w:t>草案提交2025-3-30</w:t>
            </w:r>
          </w:p>
          <w:p w14:paraId="784A073A">
            <w:pPr>
              <w:numPr>
                <w:ilvl w:val="0"/>
                <w:numId w:val="2"/>
              </w:numPr>
              <w:rPr>
                <w:sz w:val="24"/>
                <w:lang w:val="en-US"/>
              </w:rPr>
            </w:pPr>
            <w:r>
              <w:rPr>
                <w:rFonts w:hint="eastAsia"/>
                <w:sz w:val="24"/>
                <w:lang w:val="en-US"/>
              </w:rPr>
              <w:t>预期立项2025-4-30</w:t>
            </w:r>
          </w:p>
          <w:p w14:paraId="1B243857">
            <w:pPr>
              <w:numPr>
                <w:ilvl w:val="0"/>
                <w:numId w:val="2"/>
              </w:numPr>
              <w:rPr>
                <w:sz w:val="24"/>
                <w:lang w:val="en-US"/>
              </w:rPr>
            </w:pPr>
            <w:r>
              <w:rPr>
                <w:rFonts w:hint="eastAsia"/>
                <w:sz w:val="24"/>
                <w:lang w:val="en-US"/>
              </w:rPr>
              <w:t>发布时间2026-3-30</w:t>
            </w:r>
          </w:p>
        </w:tc>
      </w:tr>
      <w:tr w14:paraId="0180F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980" w:type="dxa"/>
            <w:vAlign w:val="center"/>
          </w:tcPr>
          <w:p w14:paraId="008799E8">
            <w:pPr>
              <w:widowControl/>
              <w:jc w:val="center"/>
              <w:rPr>
                <w:rFonts w:hint="eastAsia" w:ascii="宋体" w:hAnsi="宋体"/>
                <w:sz w:val="24"/>
              </w:rPr>
            </w:pPr>
            <w:r>
              <w:rPr>
                <w:rFonts w:hint="eastAsia" w:ascii="宋体" w:hAnsi="宋体"/>
                <w:sz w:val="24"/>
              </w:rPr>
              <w:t>标准预期实施</w:t>
            </w:r>
          </w:p>
          <w:p w14:paraId="395AAA22">
            <w:pPr>
              <w:widowControl/>
              <w:jc w:val="center"/>
              <w:rPr>
                <w:rFonts w:hint="eastAsia" w:ascii="宋体" w:hAnsi="宋体"/>
                <w:sz w:val="24"/>
              </w:rPr>
            </w:pPr>
            <w:r>
              <w:rPr>
                <w:rFonts w:hint="eastAsia" w:ascii="宋体" w:hAnsi="宋体"/>
                <w:sz w:val="24"/>
              </w:rPr>
              <w:t>应用方案</w:t>
            </w:r>
          </w:p>
        </w:tc>
        <w:tc>
          <w:tcPr>
            <w:tcW w:w="7255" w:type="dxa"/>
            <w:gridSpan w:val="5"/>
            <w:vAlign w:val="center"/>
          </w:tcPr>
          <w:p w14:paraId="26A35697">
            <w:pPr>
              <w:ind w:firstLine="480" w:firstLineChars="200"/>
              <w:rPr>
                <w:rFonts w:hint="eastAsia"/>
                <w:sz w:val="24"/>
              </w:rPr>
            </w:pPr>
            <w:r>
              <w:rPr>
                <w:rFonts w:hint="eastAsia"/>
                <w:sz w:val="24"/>
              </w:rPr>
              <w:t>主编单位和各起草单位将积极推进标准宣传和培训，配合学会开展标准宣贯培训工作，使有关技术人员熟悉标并掌握标准的各项技术要求，加强示范效应，让标准在行业内得到广泛推广和应用，使标准的应用落到实处。</w:t>
            </w:r>
          </w:p>
          <w:p w14:paraId="4BE533DC">
            <w:pPr>
              <w:ind w:firstLine="480" w:firstLineChars="200"/>
              <w:rPr>
                <w:i/>
                <w:iCs/>
                <w:sz w:val="24"/>
                <w:highlight w:val="yellow"/>
              </w:rPr>
            </w:pPr>
            <w:r>
              <w:rPr>
                <w:rFonts w:hint="eastAsia"/>
                <w:sz w:val="24"/>
              </w:rPr>
              <w:t>主编单位和各起草单位将对标准实施应用情况进行跟踪调查，及时发现标准执行过程中的问题，不断修改完善，提高标准水平，提高标准的科学性、合理性、协调性和可操作性。</w:t>
            </w:r>
          </w:p>
        </w:tc>
      </w:tr>
      <w:tr w14:paraId="34F68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980" w:type="dxa"/>
            <w:vAlign w:val="center"/>
          </w:tcPr>
          <w:p w14:paraId="787AEB3A">
            <w:pPr>
              <w:widowControl/>
              <w:jc w:val="center"/>
              <w:rPr>
                <w:rFonts w:hint="eastAsia" w:ascii="宋体" w:hAnsi="宋体"/>
                <w:sz w:val="24"/>
              </w:rPr>
            </w:pPr>
            <w:r>
              <w:rPr>
                <w:rFonts w:hint="eastAsia" w:ascii="宋体" w:hAnsi="宋体"/>
                <w:sz w:val="24"/>
              </w:rPr>
              <w:t>经费保障</w:t>
            </w:r>
          </w:p>
        </w:tc>
        <w:tc>
          <w:tcPr>
            <w:tcW w:w="7255" w:type="dxa"/>
            <w:gridSpan w:val="5"/>
            <w:vAlign w:val="center"/>
          </w:tcPr>
          <w:p w14:paraId="47E68FBB">
            <w:pPr>
              <w:rPr>
                <w:i/>
                <w:iCs/>
                <w:sz w:val="24"/>
              </w:rPr>
            </w:pPr>
            <w:r>
              <w:rPr>
                <w:rFonts w:hint="eastAsia"/>
                <w:sz w:val="24"/>
              </w:rPr>
              <w:t>编制团队为标准编制提供必要的经费保障。</w:t>
            </w:r>
          </w:p>
        </w:tc>
      </w:tr>
      <w:tr w14:paraId="0C3F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980" w:type="dxa"/>
            <w:vAlign w:val="center"/>
          </w:tcPr>
          <w:p w14:paraId="53021DFA">
            <w:pPr>
              <w:widowControl/>
              <w:jc w:val="center"/>
              <w:rPr>
                <w:rFonts w:hint="eastAsia" w:ascii="宋体" w:hAnsi="宋体"/>
                <w:sz w:val="24"/>
              </w:rPr>
            </w:pPr>
            <w:r>
              <w:rPr>
                <w:rFonts w:hint="eastAsia" w:ascii="宋体" w:hAnsi="宋体"/>
                <w:sz w:val="24"/>
              </w:rPr>
              <w:t>技术基础及</w:t>
            </w:r>
          </w:p>
          <w:p w14:paraId="25971AE8">
            <w:pPr>
              <w:widowControl/>
              <w:jc w:val="center"/>
              <w:rPr>
                <w:rFonts w:hint="eastAsia" w:ascii="宋体" w:hAnsi="宋体"/>
                <w:sz w:val="24"/>
              </w:rPr>
            </w:pPr>
            <w:r>
              <w:rPr>
                <w:rFonts w:hint="eastAsia" w:ascii="宋体" w:hAnsi="宋体"/>
                <w:sz w:val="24"/>
              </w:rPr>
              <w:t>研究团队</w:t>
            </w:r>
          </w:p>
        </w:tc>
        <w:tc>
          <w:tcPr>
            <w:tcW w:w="7255" w:type="dxa"/>
            <w:gridSpan w:val="5"/>
            <w:vAlign w:val="center"/>
          </w:tcPr>
          <w:p w14:paraId="0A0B1EAD">
            <w:pPr>
              <w:ind w:firstLine="480" w:firstLineChars="200"/>
              <w:rPr>
                <w:i/>
                <w:iCs/>
                <w:sz w:val="24"/>
                <w:highlight w:val="yellow"/>
              </w:rPr>
            </w:pPr>
            <w:r>
              <w:rPr>
                <w:rFonts w:hint="eastAsia"/>
                <w:sz w:val="24"/>
              </w:rPr>
              <w:t>工信部</w:t>
            </w:r>
            <w:r>
              <w:rPr>
                <w:sz w:val="24"/>
              </w:rPr>
              <w:t>高技术船舶科研项目</w:t>
            </w:r>
            <w:r>
              <w:rPr>
                <w:rFonts w:hint="eastAsia"/>
                <w:sz w:val="24"/>
              </w:rPr>
              <w:t>“2030型绿色智能沿海内河示范船”子工程（编号CBG4N21-4）中“2030型长江干线绿色智能船舶关键技术及示范船研制”任务的第</w:t>
            </w:r>
            <w:r>
              <w:rPr>
                <w:rFonts w:hint="eastAsia"/>
                <w:sz w:val="24"/>
                <w:lang w:val="en-US"/>
              </w:rPr>
              <w:t>2</w:t>
            </w:r>
            <w:r>
              <w:rPr>
                <w:rFonts w:hint="eastAsia"/>
                <w:sz w:val="24"/>
              </w:rPr>
              <w:t>个专题的第</w:t>
            </w:r>
            <w:r>
              <w:rPr>
                <w:rFonts w:hint="eastAsia"/>
                <w:sz w:val="24"/>
                <w:lang w:val="en-US"/>
              </w:rPr>
              <w:t>1</w:t>
            </w:r>
            <w:r>
              <w:rPr>
                <w:rFonts w:hint="eastAsia"/>
                <w:sz w:val="24"/>
              </w:rPr>
              <w:t>个子专题“</w:t>
            </w:r>
            <w:r>
              <w:rPr>
                <w:rFonts w:hint="eastAsia"/>
                <w:sz w:val="24"/>
                <w:lang w:val="en-US"/>
              </w:rPr>
              <w:t>箱式电源储能系统研制”</w:t>
            </w:r>
            <w:r>
              <w:rPr>
                <w:sz w:val="24"/>
              </w:rPr>
              <w:t>，</w:t>
            </w:r>
            <w:r>
              <w:rPr>
                <w:rFonts w:hint="eastAsia"/>
                <w:sz w:val="24"/>
              </w:rPr>
              <w:t>将研制工程样机，该标准可在此样机实施。</w:t>
            </w:r>
            <w:r>
              <w:rPr>
                <w:rFonts w:hint="eastAsia"/>
                <w:sz w:val="24"/>
                <w:lang w:val="en-US"/>
              </w:rPr>
              <w:t>编制组由国内澄瑞电力科技（上海）股份有限公司、武汉理工大学等单位专家组成。澄瑞电力科技在</w:t>
            </w:r>
            <w:r>
              <w:rPr>
                <w:rFonts w:hint="eastAsia"/>
                <w:sz w:val="24"/>
                <w:lang w:val="en-US" w:eastAsia="zh-CN"/>
              </w:rPr>
              <w:t>电池动力船用功率变换器</w:t>
            </w:r>
            <w:r>
              <w:rPr>
                <w:rFonts w:hint="eastAsia"/>
                <w:sz w:val="24"/>
                <w:lang w:val="en-US"/>
              </w:rPr>
              <w:t>的技术研发方面已经取得了一定成果，积累了丰富的技术经验，技术基础、技术储备与产业条件成熟，已形成较完整的技术链条，头部企业具备国际领先的研发能力和使用经验。已经成功将</w:t>
            </w:r>
            <w:r>
              <w:rPr>
                <w:rFonts w:hint="eastAsia"/>
                <w:sz w:val="24"/>
                <w:lang w:val="en-US" w:eastAsia="zh-CN"/>
              </w:rPr>
              <w:t>电池动力船用功率变换器</w:t>
            </w:r>
            <w:r>
              <w:rPr>
                <w:rFonts w:hint="eastAsia"/>
                <w:sz w:val="24"/>
                <w:lang w:val="en-US"/>
              </w:rPr>
              <w:t>应用于电动集装箱船、电动散货船、电动客船等各类船舶中，为船舶提供了清洁、高效的能源解决方案。</w:t>
            </w:r>
          </w:p>
        </w:tc>
      </w:tr>
      <w:tr w14:paraId="0BA8C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980" w:type="dxa"/>
            <w:vAlign w:val="center"/>
          </w:tcPr>
          <w:p w14:paraId="3F09BE65">
            <w:pPr>
              <w:jc w:val="center"/>
              <w:rPr>
                <w:rFonts w:hint="eastAsia" w:ascii="宋体" w:hAnsi="宋体"/>
                <w:sz w:val="24"/>
              </w:rPr>
            </w:pPr>
            <w:r>
              <w:rPr>
                <w:rFonts w:hint="eastAsia" w:ascii="宋体" w:hAnsi="宋体"/>
                <w:sz w:val="24"/>
              </w:rPr>
              <w:t>申请立项单位</w:t>
            </w:r>
          </w:p>
          <w:p w14:paraId="20563502">
            <w:pPr>
              <w:jc w:val="center"/>
              <w:rPr>
                <w:rFonts w:hint="eastAsia" w:ascii="宋体" w:hAnsi="宋体"/>
                <w:sz w:val="24"/>
              </w:rPr>
            </w:pPr>
            <w:r>
              <w:rPr>
                <w:rFonts w:hint="eastAsia" w:ascii="宋体" w:hAnsi="宋体"/>
                <w:sz w:val="24"/>
              </w:rPr>
              <w:t>意见</w:t>
            </w:r>
          </w:p>
        </w:tc>
        <w:tc>
          <w:tcPr>
            <w:tcW w:w="7255" w:type="dxa"/>
            <w:gridSpan w:val="5"/>
            <w:vAlign w:val="bottom"/>
          </w:tcPr>
          <w:p w14:paraId="3B284AAF">
            <w:pPr>
              <w:wordWrap w:val="0"/>
              <w:jc w:val="right"/>
              <w:rPr>
                <w:sz w:val="24"/>
              </w:rPr>
            </w:pPr>
            <w:r>
              <w:rPr>
                <w:rFonts w:hint="eastAsia"/>
                <w:sz w:val="24"/>
              </w:rPr>
              <w:t xml:space="preserve">（盖章）                                          </w:t>
            </w:r>
          </w:p>
          <w:p w14:paraId="2091DC8B">
            <w:pPr>
              <w:jc w:val="right"/>
              <w:rPr>
                <w:rFonts w:hint="eastAsia" w:ascii="黑体" w:hAnsi="宋体" w:eastAsia="黑体"/>
                <w:color w:val="000000"/>
                <w:sz w:val="24"/>
              </w:rPr>
            </w:pPr>
            <w:r>
              <w:rPr>
                <w:rFonts w:hint="eastAsia"/>
                <w:sz w:val="24"/>
              </w:rPr>
              <w:t>年   月   日</w:t>
            </w:r>
          </w:p>
        </w:tc>
      </w:tr>
    </w:tbl>
    <w:p w14:paraId="3780D955">
      <w:pPr>
        <w:jc w:val="left"/>
        <w:rPr>
          <w:rFonts w:ascii="仿宋_GB2312" w:eastAsia="仿宋_GB2312"/>
          <w:sz w:val="24"/>
        </w:rPr>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A25D6"/>
    <w:multiLevelType w:val="singleLevel"/>
    <w:tmpl w:val="BF6A25D6"/>
    <w:lvl w:ilvl="0" w:tentative="0">
      <w:start w:val="1"/>
      <w:numFmt w:val="decimal"/>
      <w:suff w:val="nothing"/>
      <w:lvlText w:val="%1、"/>
      <w:lvlJc w:val="left"/>
    </w:lvl>
  </w:abstractNum>
  <w:abstractNum w:abstractNumId="1">
    <w:nsid w:val="F2968AC2"/>
    <w:multiLevelType w:val="singleLevel"/>
    <w:tmpl w:val="F2968AC2"/>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mNDAyMzM2YjRhMDBlNmUyMTNlYjdmOTVhYTVhOWYifQ=="/>
  </w:docVars>
  <w:rsids>
    <w:rsidRoot w:val="00EB3B78"/>
    <w:rsid w:val="0011525A"/>
    <w:rsid w:val="00137272"/>
    <w:rsid w:val="00272809"/>
    <w:rsid w:val="003D4922"/>
    <w:rsid w:val="003F0615"/>
    <w:rsid w:val="00426DD8"/>
    <w:rsid w:val="00505991"/>
    <w:rsid w:val="005E7D40"/>
    <w:rsid w:val="006771A0"/>
    <w:rsid w:val="00837D5D"/>
    <w:rsid w:val="00915110"/>
    <w:rsid w:val="00AA6A79"/>
    <w:rsid w:val="00B179E9"/>
    <w:rsid w:val="00B439F8"/>
    <w:rsid w:val="00B55869"/>
    <w:rsid w:val="00BF659F"/>
    <w:rsid w:val="00C3423D"/>
    <w:rsid w:val="00EB3B78"/>
    <w:rsid w:val="00EC1447"/>
    <w:rsid w:val="00FC22B1"/>
    <w:rsid w:val="01D6556A"/>
    <w:rsid w:val="030F68E0"/>
    <w:rsid w:val="035C5045"/>
    <w:rsid w:val="0554458E"/>
    <w:rsid w:val="074C51C6"/>
    <w:rsid w:val="0863366A"/>
    <w:rsid w:val="0A4C107C"/>
    <w:rsid w:val="2077126F"/>
    <w:rsid w:val="2F4140EF"/>
    <w:rsid w:val="3CE32F7A"/>
    <w:rsid w:val="450E0C18"/>
    <w:rsid w:val="46D610EF"/>
    <w:rsid w:val="46D67E95"/>
    <w:rsid w:val="52DD2BAD"/>
    <w:rsid w:val="5686109B"/>
    <w:rsid w:val="5C902F0B"/>
    <w:rsid w:val="666D783D"/>
    <w:rsid w:val="6B2E38C5"/>
    <w:rsid w:val="6C864F98"/>
    <w:rsid w:val="6DAB79F5"/>
    <w:rsid w:val="70B54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sz w:val="21"/>
      <w:szCs w:val="21"/>
      <w:lang w:val="en-GB"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sz w:val="24"/>
      <w:lang w:val="en-US"/>
    </w:rPr>
  </w:style>
  <w:style w:type="character" w:styleId="7">
    <w:name w:val="Strong"/>
    <w:basedOn w:val="6"/>
    <w:qFormat/>
    <w:uiPriority w:val="22"/>
    <w:rPr>
      <w:b/>
    </w:rPr>
  </w:style>
  <w:style w:type="paragraph" w:styleId="8">
    <w:name w:val="List Paragraph"/>
    <w:basedOn w:val="1"/>
    <w:qFormat/>
    <w:uiPriority w:val="34"/>
    <w:pPr>
      <w:ind w:firstLine="420" w:firstLineChars="200"/>
    </w:pPr>
  </w:style>
  <w:style w:type="character" w:customStyle="1" w:styleId="9">
    <w:name w:val="页眉 字符"/>
    <w:basedOn w:val="6"/>
    <w:link w:val="3"/>
    <w:qFormat/>
    <w:uiPriority w:val="99"/>
    <w:rPr>
      <w:rFonts w:cs="Times New Roman" w:asciiTheme="minorEastAsia"/>
      <w:snapToGrid w:val="0"/>
      <w:sz w:val="18"/>
      <w:szCs w:val="18"/>
      <w:lang w:val="en-GB"/>
    </w:rPr>
  </w:style>
  <w:style w:type="character" w:customStyle="1" w:styleId="10">
    <w:name w:val="页脚 字符"/>
    <w:basedOn w:val="6"/>
    <w:link w:val="2"/>
    <w:qFormat/>
    <w:uiPriority w:val="99"/>
    <w:rPr>
      <w:rFonts w:cs="Times New Roman" w:asciiTheme="minorEastAsia"/>
      <w:snapToGrid w:val="0"/>
      <w:sz w:val="18"/>
      <w:szCs w:val="18"/>
      <w:lang w:val="en-GB"/>
    </w:rPr>
  </w:style>
  <w:style w:type="paragraph" w:customStyle="1" w:styleId="1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3">
    <w:name w:val="Revision"/>
    <w:hidden/>
    <w:unhideWhenUsed/>
    <w:qFormat/>
    <w:uiPriority w:val="99"/>
    <w:rPr>
      <w:rFonts w:cs="Times New Roman" w:asciiTheme="minorEastAsia" w:hAnsiTheme="minorHAnsi" w:eastAsiaTheme="minorEastAsia"/>
      <w:snapToGrid w:val="0"/>
      <w:sz w:val="21"/>
      <w:szCs w:val="21"/>
      <w:lang w:val="en-GB"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2366</Words>
  <Characters>2591</Characters>
  <Lines>19</Lines>
  <Paragraphs>5</Paragraphs>
  <TotalTime>28</TotalTime>
  <ScaleCrop>false</ScaleCrop>
  <LinksUpToDate>false</LinksUpToDate>
  <CharactersWithSpaces>2673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WPS_1692169358</cp:lastModifiedBy>
  <dcterms:modified xsi:type="dcterms:W3CDTF">2025-03-27T11:26:28Z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F188F81645DF4C359791672D84CC0120_13</vt:lpwstr>
  </property>
  <property fmtid="{D5CDD505-2E9C-101B-9397-08002B2CF9AE}" pid="4" name="KSOTemplateDocerSaveRecord">
    <vt:lpwstr>eyJoZGlkIjoiMjBjY2M0NmViNDEwYzkzMWZkODBkMzI1YzFiY2U0MzEiLCJ1c2VySWQiOiIxNTIxNjk2MjAyIn0=</vt:lpwstr>
  </property>
</Properties>
</file>